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1E3E" w14:textId="77777777" w:rsidR="00F43043" w:rsidRDefault="009B7F11">
      <w:pPr>
        <w:jc w:val="center"/>
      </w:pPr>
      <w:r>
        <w:t>BESZÁMOLÓ A FIGAMU XVIII. KONGRESSZUSÁRÓL</w:t>
      </w:r>
    </w:p>
    <w:p w14:paraId="0B5D1E3F" w14:textId="77777777" w:rsidR="00F43043" w:rsidRDefault="00F43043">
      <w:pPr>
        <w:jc w:val="center"/>
      </w:pPr>
    </w:p>
    <w:p w14:paraId="0B5D1E40" w14:textId="77777777" w:rsidR="00F43043" w:rsidRDefault="009B7F11">
      <w:pPr>
        <w:jc w:val="both"/>
      </w:pPr>
      <w:r>
        <w:t xml:space="preserve">2024. április 19-21. között Balatonalmádiban került megrendezésre a Fiatal </w:t>
      </w:r>
      <w:proofErr w:type="spellStart"/>
      <w:r>
        <w:t>Gasztroenterológusok</w:t>
      </w:r>
      <w:proofErr w:type="spellEnd"/>
      <w:r>
        <w:t xml:space="preserve"> Munkacsoportjának </w:t>
      </w:r>
      <w:r>
        <w:rPr>
          <w:b/>
          <w:bCs/>
        </w:rPr>
        <w:t>XVIII. Konferenciája</w:t>
      </w:r>
      <w:r>
        <w:t xml:space="preserve"> 147 regisztrált gyakorló orvos személyes </w:t>
      </w:r>
      <w:r>
        <w:t>részvételével.</w:t>
      </w:r>
    </w:p>
    <w:p w14:paraId="0B5D1E41" w14:textId="31FC08F6" w:rsidR="00F43043" w:rsidRDefault="009B7F11">
      <w:pPr>
        <w:jc w:val="both"/>
      </w:pPr>
      <w:r>
        <w:t xml:space="preserve">A tudományos programot megelőző immár hagyományos gyakorlati képzés idén – az évenkénti váltást követve – endoszkópos tematikájú volt. </w:t>
      </w:r>
      <w:proofErr w:type="spellStart"/>
      <w:r>
        <w:t>Hritz</w:t>
      </w:r>
      <w:proofErr w:type="spellEnd"/>
      <w:r>
        <w:t xml:space="preserve"> István Tanár úr iránymutatása mellett, a Magyar </w:t>
      </w:r>
      <w:proofErr w:type="spellStart"/>
      <w:r>
        <w:t>Gasztroenterológiai</w:t>
      </w:r>
      <w:proofErr w:type="spellEnd"/>
      <w:r>
        <w:t xml:space="preserve"> Társaság Endoszkópos Szekció Vezetősége segítségével kezdő- (rutin </w:t>
      </w:r>
      <w:proofErr w:type="spellStart"/>
      <w:r>
        <w:t>gastroscopia</w:t>
      </w:r>
      <w:proofErr w:type="spellEnd"/>
      <w:r>
        <w:t xml:space="preserve">, rutin </w:t>
      </w:r>
      <w:proofErr w:type="spellStart"/>
      <w:r>
        <w:t>colonoscopia</w:t>
      </w:r>
      <w:proofErr w:type="spellEnd"/>
      <w:r>
        <w:t xml:space="preserve">, vérzéscsillapítás, </w:t>
      </w:r>
      <w:proofErr w:type="spellStart"/>
      <w:r>
        <w:t>polypectomia</w:t>
      </w:r>
      <w:proofErr w:type="spellEnd"/>
      <w:r>
        <w:t xml:space="preserve">) és haladó (ERCP) szinten forgó rendszerben volt lehetőségük a jelentkezőknek gyakorolni a 180 perces </w:t>
      </w:r>
      <w:proofErr w:type="spellStart"/>
      <w:r>
        <w:rPr>
          <w:b/>
          <w:bCs/>
        </w:rPr>
        <w:t>hands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</w:t>
      </w:r>
      <w:proofErr w:type="spellEnd"/>
      <w:r>
        <w:t xml:space="preserve">  tréning</w:t>
      </w:r>
      <w:r>
        <w:t xml:space="preserve"> során. </w:t>
      </w:r>
    </w:p>
    <w:p w14:paraId="0B5D1E42" w14:textId="77777777" w:rsidR="00F43043" w:rsidRDefault="009B7F11">
      <w:pPr>
        <w:jc w:val="both"/>
      </w:pPr>
      <w:r>
        <w:t xml:space="preserve">A szakmai program fő témái idén </w:t>
      </w:r>
      <w:r>
        <w:rPr>
          <w:b/>
          <w:bCs/>
        </w:rPr>
        <w:t xml:space="preserve">a hasnyálmirigy gócos elváltozásai, a </w:t>
      </w:r>
      <w:proofErr w:type="spellStart"/>
      <w:r>
        <w:rPr>
          <w:b/>
          <w:bCs/>
        </w:rPr>
        <w:t>colorectalis</w:t>
      </w:r>
      <w:proofErr w:type="spellEnd"/>
      <w:r>
        <w:rPr>
          <w:b/>
          <w:bCs/>
        </w:rPr>
        <w:t xml:space="preserve"> májáttétek (CRLM) </w:t>
      </w:r>
      <w:proofErr w:type="spellStart"/>
      <w:r>
        <w:rPr>
          <w:b/>
          <w:bCs/>
        </w:rPr>
        <w:t>multidiszciplinaris</w:t>
      </w:r>
      <w:proofErr w:type="spellEnd"/>
      <w:r>
        <w:rPr>
          <w:b/>
          <w:bCs/>
        </w:rPr>
        <w:t xml:space="preserve"> megközelítése és az idült </w:t>
      </w:r>
      <w:proofErr w:type="spellStart"/>
      <w:r>
        <w:rPr>
          <w:b/>
          <w:bCs/>
        </w:rPr>
        <w:t>gyulladásos</w:t>
      </w:r>
      <w:proofErr w:type="spellEnd"/>
      <w:r>
        <w:rPr>
          <w:b/>
          <w:bCs/>
        </w:rPr>
        <w:t xml:space="preserve"> bélbetegségek kezelése</w:t>
      </w:r>
      <w:r>
        <w:t xml:space="preserve"> voltak. Ezek mellett érdekes, aktuális, hasznos és főképp gyakorlatias szimpóziumok gazdagították még a programot. </w:t>
      </w:r>
    </w:p>
    <w:p w14:paraId="0B5D1E43" w14:textId="77777777" w:rsidR="00F43043" w:rsidRDefault="009B7F11">
      <w:pPr>
        <w:jc w:val="both"/>
      </w:pPr>
      <w:r>
        <w:t xml:space="preserve">Külön megtiszteltetés volt számunkra, hogy </w:t>
      </w:r>
      <w:r>
        <w:rPr>
          <w:b/>
          <w:bCs/>
        </w:rPr>
        <w:t xml:space="preserve">dr. Jonas </w:t>
      </w:r>
      <w:proofErr w:type="spellStart"/>
      <w:r>
        <w:rPr>
          <w:b/>
          <w:bCs/>
        </w:rPr>
        <w:t>Rosendahl</w:t>
      </w:r>
      <w:proofErr w:type="spellEnd"/>
      <w:r>
        <w:t xml:space="preserve">, a Halle-i Egyetem professzora, a UEG jelenlegi kincstárnoka elfogadta meghívásunkat, és a pénteki </w:t>
      </w:r>
      <w:proofErr w:type="spellStart"/>
      <w:r>
        <w:t>pancreas</w:t>
      </w:r>
      <w:proofErr w:type="spellEnd"/>
      <w:r>
        <w:t xml:space="preserve"> szekcióhoz kapcsolódóan kiemelkedő színvonalú előadást tartott „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clues</w:t>
      </w:r>
      <w:proofErr w:type="spellEnd"/>
      <w:r>
        <w:t xml:space="preserve"> of </w:t>
      </w:r>
      <w:proofErr w:type="spellStart"/>
      <w:r>
        <w:t>pancreatic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” címmel. </w:t>
      </w:r>
    </w:p>
    <w:p w14:paraId="0B5D1E44" w14:textId="77777777" w:rsidR="00F43043" w:rsidRDefault="009B7F11">
      <w:pPr>
        <w:jc w:val="both"/>
      </w:pPr>
      <w:r>
        <w:t xml:space="preserve">A szombati közös szekciót (CRLM menedzsment) hagyományteremtő jelleggel, a </w:t>
      </w:r>
      <w:r>
        <w:rPr>
          <w:b/>
          <w:bCs/>
        </w:rPr>
        <w:t>Fiatal Sebészekkel és Fiatal Onkológusokkal közösen, a Fiatal Radiológusok Fórumával</w:t>
      </w:r>
      <w:r>
        <w:t xml:space="preserve"> kiegészülve a nagy sikernek és érdeklődésnek örvendő </w:t>
      </w:r>
      <w:r>
        <w:rPr>
          <w:b/>
          <w:bCs/>
        </w:rPr>
        <w:t>„</w:t>
      </w:r>
      <w:proofErr w:type="spellStart"/>
      <w:r>
        <w:rPr>
          <w:b/>
          <w:bCs/>
        </w:rPr>
        <w:t>Onkoteam</w:t>
      </w:r>
      <w:proofErr w:type="spellEnd"/>
      <w:r>
        <w:rPr>
          <w:b/>
          <w:bCs/>
        </w:rPr>
        <w:t>”</w:t>
      </w:r>
      <w:r>
        <w:t xml:space="preserve"> formátummal zártuk: a multidiszciplináris </w:t>
      </w:r>
      <w:proofErr w:type="spellStart"/>
      <w:r>
        <w:t>Expert</w:t>
      </w:r>
      <w:proofErr w:type="spellEnd"/>
      <w:r>
        <w:t xml:space="preserve"> előadások előadói a mindennapi gyakorlatból származó, komplex, kihívást jelentő esetek diagnosztikai/terápiás lehetőségeit való időben vitatták meg.   </w:t>
      </w:r>
    </w:p>
    <w:p w14:paraId="0B5D1E45" w14:textId="77777777" w:rsidR="00F43043" w:rsidRDefault="009B7F11">
      <w:pPr>
        <w:jc w:val="both"/>
      </w:pPr>
      <w:r>
        <w:t xml:space="preserve">Hagyományinkhoz híven a magas szakmai színvonalú </w:t>
      </w:r>
      <w:proofErr w:type="spellStart"/>
      <w:r>
        <w:t>Expert</w:t>
      </w:r>
      <w:proofErr w:type="spellEnd"/>
      <w:r>
        <w:t xml:space="preserve"> előadások mellett FIGAMU Tagok érdekes, színes, gondolatébresztő esetbemutatásait is figyelemmel kísérhettük. Az MGT-vel és a társ-szekciókkal való szoros együttműködés nyomán számos fiatal kollégát hazai konferenciákon való részvétellel jutalmazhattunk: </w:t>
      </w:r>
      <w:proofErr w:type="spellStart"/>
      <w:r>
        <w:t>Pálmay</w:t>
      </w:r>
      <w:proofErr w:type="spellEnd"/>
      <w:r>
        <w:t xml:space="preserve"> Andrea és Jónás Georgina </w:t>
      </w:r>
      <w:r>
        <w:rPr>
          <w:b/>
          <w:bCs/>
        </w:rPr>
        <w:t>MGT</w:t>
      </w:r>
      <w:r>
        <w:t xml:space="preserve">, Tóth Éva </w:t>
      </w:r>
      <w:r>
        <w:rPr>
          <w:b/>
          <w:bCs/>
        </w:rPr>
        <w:t>Endoszkópos Szekció</w:t>
      </w:r>
      <w:r>
        <w:t xml:space="preserve">, Makrai Tibor és Farkas Bernadett </w:t>
      </w:r>
      <w:r>
        <w:rPr>
          <w:b/>
          <w:bCs/>
        </w:rPr>
        <w:t>MMTT</w:t>
      </w:r>
      <w:r>
        <w:t xml:space="preserve">, Tóth Ádám Péter és Varga Ádám </w:t>
      </w:r>
      <w:r>
        <w:rPr>
          <w:b/>
          <w:bCs/>
        </w:rPr>
        <w:t>Gyermek IBD-nap</w:t>
      </w:r>
      <w:r>
        <w:t xml:space="preserve">, míg </w:t>
      </w:r>
      <w:proofErr w:type="spellStart"/>
      <w:r>
        <w:t>Greff</w:t>
      </w:r>
      <w:proofErr w:type="spellEnd"/>
      <w:r>
        <w:t xml:space="preserve"> Dorottya és </w:t>
      </w:r>
      <w:proofErr w:type="spellStart"/>
      <w:r>
        <w:t>Peresztegi</w:t>
      </w:r>
      <w:proofErr w:type="spellEnd"/>
      <w:r>
        <w:t xml:space="preserve"> Míra </w:t>
      </w:r>
      <w:r>
        <w:rPr>
          <w:b/>
          <w:bCs/>
        </w:rPr>
        <w:t>FIGAMU</w:t>
      </w:r>
      <w:r>
        <w:t xml:space="preserve"> részvételt nyertek. A </w:t>
      </w:r>
      <w:proofErr w:type="spellStart"/>
      <w:r>
        <w:t>díjazottak</w:t>
      </w:r>
      <w:proofErr w:type="spellEnd"/>
      <w:r>
        <w:t xml:space="preserve"> között szerepel még</w:t>
      </w:r>
      <w:r>
        <w:t xml:space="preserve"> </w:t>
      </w:r>
      <w:proofErr w:type="spellStart"/>
      <w:r>
        <w:t>Tallós</w:t>
      </w:r>
      <w:proofErr w:type="spellEnd"/>
      <w:r>
        <w:t xml:space="preserve"> Zsuzsa, </w:t>
      </w:r>
      <w:proofErr w:type="spellStart"/>
      <w:r>
        <w:t>Oberfrank</w:t>
      </w:r>
      <w:proofErr w:type="spellEnd"/>
      <w:r>
        <w:t xml:space="preserve"> Míra, Szolga Brigitta, Lénárt Ágnes, </w:t>
      </w:r>
      <w:proofErr w:type="spellStart"/>
      <w:r>
        <w:t>Prehoda</w:t>
      </w:r>
      <w:proofErr w:type="spellEnd"/>
      <w:r>
        <w:t xml:space="preserve"> Bence és </w:t>
      </w:r>
      <w:proofErr w:type="spellStart"/>
      <w:r>
        <w:t>Rutka</w:t>
      </w:r>
      <w:proofErr w:type="spellEnd"/>
      <w:r>
        <w:t xml:space="preserve"> Mariann. Külön öröm számunkra, hogy évről évre egyre több orvostanhallgatót is köszönthetünk előadóink között: Pápista Máté, </w:t>
      </w:r>
      <w:proofErr w:type="spellStart"/>
      <w:r>
        <w:t>Ecseki</w:t>
      </w:r>
      <w:proofErr w:type="spellEnd"/>
      <w:r>
        <w:t xml:space="preserve"> Andor Áron TDK-</w:t>
      </w:r>
      <w:proofErr w:type="spellStart"/>
      <w:r>
        <w:t>díjazottak</w:t>
      </w:r>
      <w:proofErr w:type="spellEnd"/>
      <w:r>
        <w:t xml:space="preserve"> és Hegedűs </w:t>
      </w:r>
      <w:proofErr w:type="spellStart"/>
      <w:r>
        <w:t>Luciána</w:t>
      </w:r>
      <w:proofErr w:type="spellEnd"/>
      <w:r>
        <w:t xml:space="preserve"> a </w:t>
      </w:r>
      <w:proofErr w:type="spellStart"/>
      <w:r>
        <w:t>Tulassay</w:t>
      </w:r>
      <w:proofErr w:type="spellEnd"/>
      <w:r>
        <w:t xml:space="preserve"> Professzor úr által szerkesztett </w:t>
      </w:r>
      <w:proofErr w:type="spellStart"/>
      <w:r>
        <w:t>Gasztroenterológia</w:t>
      </w:r>
      <w:proofErr w:type="spellEnd"/>
      <w:r>
        <w:t xml:space="preserve"> tankönyvvel lett gazdagabb aktivitása elismeréséül.  </w:t>
      </w:r>
    </w:p>
    <w:p w14:paraId="0B5D1E46" w14:textId="77777777" w:rsidR="00F43043" w:rsidRDefault="009B7F11">
      <w:pPr>
        <w:jc w:val="both"/>
      </w:pPr>
      <w:r>
        <w:t>A jótékonysági futóverseny (</w:t>
      </w:r>
      <w:r>
        <w:rPr>
          <w:b/>
          <w:bCs/>
        </w:rPr>
        <w:t>FIGAFUT</w:t>
      </w:r>
      <w:r>
        <w:t>) idén rekord számú résztvevőt vonzott: kevert, négyfős csapataink összesen 150.000 forintot gyűjtöttek össze adományként, mely összeget a „</w:t>
      </w:r>
      <w:proofErr w:type="spellStart"/>
      <w:r>
        <w:t>twin-to-twin</w:t>
      </w:r>
      <w:proofErr w:type="spellEnd"/>
      <w:r>
        <w:t xml:space="preserve"> </w:t>
      </w:r>
      <w:proofErr w:type="spellStart"/>
      <w:r>
        <w:t>transfusion</w:t>
      </w:r>
      <w:proofErr w:type="spellEnd"/>
      <w:r>
        <w:t>” szindrómában szenvedő Márkus-</w:t>
      </w:r>
      <w:proofErr w:type="spellStart"/>
      <w:r>
        <w:t>Schütt</w:t>
      </w:r>
      <w:proofErr w:type="spellEnd"/>
      <w:r>
        <w:t xml:space="preserve"> Viktória részére ajánlottuk fel. </w:t>
      </w:r>
    </w:p>
    <w:p w14:paraId="0B5D1E47" w14:textId="77777777" w:rsidR="00F43043" w:rsidRDefault="009B7F11">
      <w:pPr>
        <w:jc w:val="both"/>
      </w:pPr>
      <w:proofErr w:type="spellStart"/>
      <w:r>
        <w:rPr>
          <w:b/>
          <w:bCs/>
        </w:rPr>
        <w:t>Figamu</w:t>
      </w:r>
      <w:proofErr w:type="spellEnd"/>
      <w:r>
        <w:rPr>
          <w:b/>
          <w:bCs/>
        </w:rPr>
        <w:t xml:space="preserve"> Alapítványi támogatást</w:t>
      </w:r>
      <w:r>
        <w:t xml:space="preserve"> eddig 9 pályázónak ítéltünk meg, 560.000 </w:t>
      </w:r>
      <w:proofErr w:type="gramStart"/>
      <w:r>
        <w:t>forint értékben</w:t>
      </w:r>
      <w:proofErr w:type="gramEnd"/>
      <w:r>
        <w:t xml:space="preserve">. </w:t>
      </w:r>
    </w:p>
    <w:p w14:paraId="0B5D1E48" w14:textId="77777777" w:rsidR="00F43043" w:rsidRDefault="009B7F11">
      <w:pPr>
        <w:jc w:val="both"/>
      </w:pPr>
      <w:r>
        <w:t xml:space="preserve">A kétévente megrendezésre kerülő </w:t>
      </w:r>
      <w:r>
        <w:rPr>
          <w:b/>
          <w:bCs/>
        </w:rPr>
        <w:t>közgyűlés</w:t>
      </w:r>
      <w:r>
        <w:t xml:space="preserve"> során búcsút vettünk dr. Bor Renátától. Helyét a Vezetőségben dr. Bősze Zsófia vette át dr. </w:t>
      </w:r>
      <w:proofErr w:type="spellStart"/>
      <w:r>
        <w:t>Andrási</w:t>
      </w:r>
      <w:proofErr w:type="spellEnd"/>
      <w:r>
        <w:t xml:space="preserve"> Péter, dr. Béres Nóra, dr. </w:t>
      </w:r>
      <w:proofErr w:type="spellStart"/>
      <w:r>
        <w:t>Golovics</w:t>
      </w:r>
      <w:proofErr w:type="spellEnd"/>
      <w:r>
        <w:t xml:space="preserve"> Petra és dr. Lázár Balázs mellett. A FIGAMU Titkári pozícióját dr. Lovász Barbara tölti be, míg a jelenlegi Elnök pozícióját dr. Illés Dóra vette át a következő ciklus idejére.   </w:t>
      </w:r>
    </w:p>
    <w:p w14:paraId="0B5D1E49" w14:textId="77777777" w:rsidR="00F43043" w:rsidRDefault="009B7F11">
      <w:pPr>
        <w:jc w:val="both"/>
      </w:pPr>
      <w:r>
        <w:t xml:space="preserve"> </w:t>
      </w:r>
    </w:p>
    <w:sectPr w:rsidR="00F4304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1E42" w14:textId="77777777" w:rsidR="009B7F11" w:rsidRDefault="009B7F11">
      <w:pPr>
        <w:spacing w:after="0" w:line="240" w:lineRule="auto"/>
      </w:pPr>
      <w:r>
        <w:separator/>
      </w:r>
    </w:p>
  </w:endnote>
  <w:endnote w:type="continuationSeparator" w:id="0">
    <w:p w14:paraId="0B5D1E44" w14:textId="77777777" w:rsidR="009B7F11" w:rsidRDefault="009B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1E3E" w14:textId="77777777" w:rsidR="009B7F11" w:rsidRDefault="009B7F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5D1E40" w14:textId="77777777" w:rsidR="009B7F11" w:rsidRDefault="009B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3043"/>
    <w:rsid w:val="009B7F11"/>
    <w:rsid w:val="00F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1E3E"/>
  <w15:docId w15:val="{1EB763B0-84AC-4F84-AC27-47CBFBBF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249" w:lineRule="auto"/>
    </w:pPr>
    <w:rPr>
      <w:rFonts w:ascii="Calibri" w:eastAsia="Calibri" w:hAnsi="Calibri"/>
      <w:kern w:val="0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 w:line="254" w:lineRule="auto"/>
      <w:outlineLvl w:val="0"/>
    </w:pPr>
    <w:rPr>
      <w:rFonts w:ascii="Aptos Display" w:eastAsia="Times New Roman" w:hAnsi="Aptos Display"/>
      <w:color w:val="0F4761"/>
      <w:kern w:val="3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 w:line="254" w:lineRule="auto"/>
      <w:outlineLvl w:val="1"/>
    </w:pPr>
    <w:rPr>
      <w:rFonts w:ascii="Aptos Display" w:eastAsia="Times New Roman" w:hAnsi="Aptos Display"/>
      <w:color w:val="0F4761"/>
      <w:kern w:val="3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 w:line="254" w:lineRule="auto"/>
      <w:outlineLvl w:val="2"/>
    </w:pPr>
    <w:rPr>
      <w:rFonts w:ascii="Aptos" w:eastAsia="Times New Roman" w:hAnsi="Aptos"/>
      <w:color w:val="0F4761"/>
      <w:kern w:val="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 w:line="254" w:lineRule="auto"/>
      <w:outlineLvl w:val="3"/>
    </w:pPr>
    <w:rPr>
      <w:rFonts w:ascii="Aptos" w:eastAsia="Times New Roman" w:hAnsi="Aptos"/>
      <w:i/>
      <w:iCs/>
      <w:color w:val="0F4761"/>
      <w:kern w:val="3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 w:line="254" w:lineRule="auto"/>
      <w:outlineLvl w:val="4"/>
    </w:pPr>
    <w:rPr>
      <w:rFonts w:ascii="Aptos" w:eastAsia="Times New Roman" w:hAnsi="Aptos"/>
      <w:color w:val="0F4761"/>
      <w:kern w:val="3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 w:after="0" w:line="254" w:lineRule="auto"/>
      <w:outlineLvl w:val="5"/>
    </w:pPr>
    <w:rPr>
      <w:rFonts w:ascii="Aptos" w:eastAsia="Times New Roman" w:hAnsi="Aptos"/>
      <w:i/>
      <w:iCs/>
      <w:color w:val="595959"/>
      <w:kern w:val="3"/>
    </w:rPr>
  </w:style>
  <w:style w:type="paragraph" w:styleId="Cmsor7">
    <w:name w:val="heading 7"/>
    <w:basedOn w:val="Norml"/>
    <w:next w:val="Norml"/>
    <w:pPr>
      <w:keepNext/>
      <w:keepLines/>
      <w:spacing w:before="40" w:after="0" w:line="254" w:lineRule="auto"/>
      <w:outlineLvl w:val="6"/>
    </w:pPr>
    <w:rPr>
      <w:rFonts w:ascii="Aptos" w:eastAsia="Times New Roman" w:hAnsi="Aptos"/>
      <w:color w:val="595959"/>
      <w:kern w:val="3"/>
    </w:rPr>
  </w:style>
  <w:style w:type="paragraph" w:styleId="Cmsor8">
    <w:name w:val="heading 8"/>
    <w:basedOn w:val="Norml"/>
    <w:next w:val="Norml"/>
    <w:pPr>
      <w:keepNext/>
      <w:keepLines/>
      <w:spacing w:after="0" w:line="254" w:lineRule="auto"/>
      <w:outlineLvl w:val="7"/>
    </w:pPr>
    <w:rPr>
      <w:rFonts w:ascii="Aptos" w:eastAsia="Times New Roman" w:hAnsi="Aptos"/>
      <w:i/>
      <w:iCs/>
      <w:color w:val="272727"/>
      <w:kern w:val="3"/>
    </w:rPr>
  </w:style>
  <w:style w:type="paragraph" w:styleId="Cmsor9">
    <w:name w:val="heading 9"/>
    <w:basedOn w:val="Norml"/>
    <w:next w:val="Norml"/>
    <w:pPr>
      <w:keepNext/>
      <w:keepLines/>
      <w:spacing w:after="0" w:line="254" w:lineRule="auto"/>
      <w:outlineLvl w:val="8"/>
    </w:pPr>
    <w:rPr>
      <w:rFonts w:ascii="Aptos" w:eastAsia="Times New Roman" w:hAnsi="Aptos"/>
      <w:color w:val="272727"/>
      <w:kern w:val="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pPr>
      <w:spacing w:line="254" w:lineRule="auto"/>
    </w:pPr>
    <w:rPr>
      <w:rFonts w:ascii="Aptos" w:eastAsia="Times New Roman" w:hAnsi="Aptos"/>
      <w:color w:val="595959"/>
      <w:spacing w:val="15"/>
      <w:kern w:val="3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 w:line="254" w:lineRule="auto"/>
      <w:jc w:val="center"/>
    </w:pPr>
    <w:rPr>
      <w:rFonts w:ascii="Aptos" w:eastAsia="Aptos" w:hAnsi="Aptos"/>
      <w:i/>
      <w:iCs/>
      <w:color w:val="404040"/>
      <w:kern w:val="3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spacing w:line="254" w:lineRule="auto"/>
      <w:ind w:left="720"/>
      <w:contextualSpacing/>
    </w:pPr>
    <w:rPr>
      <w:rFonts w:ascii="Aptos" w:eastAsia="Aptos" w:hAnsi="Aptos"/>
      <w:kern w:val="3"/>
    </w:r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 w:line="254" w:lineRule="auto"/>
      <w:ind w:left="864" w:right="864"/>
      <w:jc w:val="center"/>
    </w:pPr>
    <w:rPr>
      <w:rFonts w:ascii="Aptos" w:eastAsia="Aptos" w:hAnsi="Aptos"/>
      <w:i/>
      <w:iCs/>
      <w:color w:val="0F4761"/>
      <w:kern w:val="3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CBAF50B0D99489FF3906A27AF05BB" ma:contentTypeVersion="15" ma:contentTypeDescription="Új dokumentum létrehozása." ma:contentTypeScope="" ma:versionID="025a4cc17b0abd83f1e3befe9fafbe73">
  <xsd:schema xmlns:xsd="http://www.w3.org/2001/XMLSchema" xmlns:xs="http://www.w3.org/2001/XMLSchema" xmlns:p="http://schemas.microsoft.com/office/2006/metadata/properties" xmlns:ns2="268bc50b-22e9-418f-8289-f51e4d785e7b" xmlns:ns3="9e0d4ce4-74dc-437a-a97a-8df69e54686f" targetNamespace="http://schemas.microsoft.com/office/2006/metadata/properties" ma:root="true" ma:fieldsID="e33ffba19da5dda688a9ea1b258ceca2" ns2:_="" ns3:_="">
    <xsd:import namespace="268bc50b-22e9-418f-8289-f51e4d785e7b"/>
    <xsd:import namespace="9e0d4ce4-74dc-437a-a97a-8df69e5468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c50b-22e9-418f-8289-f51e4d785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da6363bf-5512-4e13-a374-705e0b9b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ce4-74dc-437a-a97a-8df69e5468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c30744-f369-4dc7-9ab6-70e7b47fb0b0}" ma:internalName="TaxCatchAll" ma:showField="CatchAllData" ma:web="9e0d4ce4-74dc-437a-a97a-8df69e546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D14C0-CB12-49FD-B970-1F70F7D88653}"/>
</file>

<file path=customXml/itemProps2.xml><?xml version="1.0" encoding="utf-8"?>
<ds:datastoreItem xmlns:ds="http://schemas.openxmlformats.org/officeDocument/2006/customXml" ds:itemID="{54DF43BB-71B1-4EFD-9D88-1FFEEEBFC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Illés</dc:creator>
  <dc:description/>
  <cp:lastModifiedBy>Dóra Illés</cp:lastModifiedBy>
  <cp:revision>2</cp:revision>
  <dcterms:created xsi:type="dcterms:W3CDTF">2024-05-07T17:09:00Z</dcterms:created>
  <dcterms:modified xsi:type="dcterms:W3CDTF">2024-05-07T17:09:00Z</dcterms:modified>
</cp:coreProperties>
</file>